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C3151" w14:textId="0C9AE31C" w:rsidR="0006481B" w:rsidRDefault="00103711" w:rsidP="00E753D5">
      <w:pPr>
        <w:spacing w:after="0" w:line="240" w:lineRule="auto"/>
        <w:rPr>
          <w:rFonts w:ascii="Dubai" w:hAnsi="Dubai" w:cs="Duba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90B3B2" wp14:editId="4A4878DC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50620" cy="732108"/>
            <wp:effectExtent l="0" t="0" r="0" b="0"/>
            <wp:wrapNone/>
            <wp:docPr id="2" name="Picture 2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732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CD4">
        <w:rPr>
          <w:rFonts w:ascii="Sakkal Majalla" w:hAnsi="Sakkal Majalla" w:cs="Sakkal Majalla"/>
          <w:b/>
          <w:bCs/>
          <w:noProof/>
          <w:sz w:val="44"/>
          <w:szCs w:val="44"/>
          <w:lang w:bidi="ar"/>
        </w:rPr>
        <w:drawing>
          <wp:anchor distT="0" distB="0" distL="114300" distR="114300" simplePos="0" relativeHeight="251660288" behindDoc="0" locked="0" layoutInCell="1" allowOverlap="1" wp14:anchorId="22ED319A" wp14:editId="3AC267FC">
            <wp:simplePos x="0" y="0"/>
            <wp:positionH relativeFrom="margin">
              <wp:posOffset>-556260</wp:posOffset>
            </wp:positionH>
            <wp:positionV relativeFrom="paragraph">
              <wp:posOffset>106680</wp:posOffset>
            </wp:positionV>
            <wp:extent cx="974725" cy="627380"/>
            <wp:effectExtent l="0" t="0" r="0" b="1270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24778E" w14:textId="5E2355AE" w:rsidR="009F2FC6" w:rsidRDefault="009F2FC6" w:rsidP="00E753D5">
      <w:pPr>
        <w:spacing w:after="0" w:line="240" w:lineRule="auto"/>
        <w:rPr>
          <w:rFonts w:ascii="Dubai" w:hAnsi="Dubai" w:cs="Dubai"/>
          <w:b/>
          <w:sz w:val="24"/>
          <w:szCs w:val="24"/>
        </w:rPr>
      </w:pPr>
    </w:p>
    <w:p w14:paraId="0ED2448B" w14:textId="77777777" w:rsidR="00CA308B" w:rsidRDefault="00CA308B" w:rsidP="00CA308B">
      <w:pPr>
        <w:spacing w:after="0" w:line="240" w:lineRule="auto"/>
        <w:rPr>
          <w:rFonts w:ascii="Dubai" w:hAnsi="Dubai" w:cs="Dubai"/>
          <w:b/>
          <w:sz w:val="24"/>
          <w:szCs w:val="24"/>
        </w:rPr>
      </w:pPr>
    </w:p>
    <w:p w14:paraId="0ACCBB9C" w14:textId="77777777" w:rsidR="00CA308B" w:rsidRDefault="00CA308B" w:rsidP="00CA308B">
      <w:pPr>
        <w:spacing w:after="0" w:line="240" w:lineRule="auto"/>
        <w:rPr>
          <w:rFonts w:ascii="Dubai" w:hAnsi="Dubai" w:cs="Dubai"/>
          <w:b/>
          <w:sz w:val="24"/>
          <w:szCs w:val="24"/>
        </w:rPr>
      </w:pPr>
    </w:p>
    <w:p w14:paraId="4A0158D5" w14:textId="2BCF1269" w:rsidR="005048BD" w:rsidRDefault="004E72AA" w:rsidP="00CA308B">
      <w:pPr>
        <w:spacing w:after="0" w:line="240" w:lineRule="auto"/>
        <w:jc w:val="center"/>
        <w:rPr>
          <w:rFonts w:ascii="Dubai" w:hAnsi="Dubai" w:cs="Dubai"/>
          <w:b/>
          <w:sz w:val="24"/>
          <w:szCs w:val="24"/>
        </w:rPr>
      </w:pPr>
      <w:r>
        <w:rPr>
          <w:rFonts w:ascii="Dubai" w:hAnsi="Dubai" w:cs="Dubai"/>
          <w:b/>
          <w:sz w:val="24"/>
          <w:szCs w:val="24"/>
        </w:rPr>
        <w:t>REGISTER AS MEDIA NOW</w:t>
      </w:r>
      <w:r w:rsidR="00221002">
        <w:rPr>
          <w:rFonts w:ascii="Dubai" w:hAnsi="Dubai" w:cs="Dubai"/>
          <w:b/>
          <w:sz w:val="24"/>
          <w:szCs w:val="24"/>
        </w:rPr>
        <w:t xml:space="preserve">: </w:t>
      </w:r>
      <w:r w:rsidR="00D05945">
        <w:rPr>
          <w:rFonts w:ascii="Dubai" w:hAnsi="Dubai" w:cs="Dubai"/>
          <w:b/>
          <w:sz w:val="24"/>
          <w:szCs w:val="24"/>
        </w:rPr>
        <w:t>DUBAI INTERNATIONAL BOAT SHOW</w:t>
      </w:r>
      <w:r w:rsidR="00336DA8">
        <w:rPr>
          <w:rFonts w:ascii="Dubai" w:hAnsi="Dubai" w:cs="Dubai"/>
          <w:b/>
          <w:sz w:val="24"/>
          <w:szCs w:val="24"/>
        </w:rPr>
        <w:t xml:space="preserve"> 2025</w:t>
      </w:r>
    </w:p>
    <w:p w14:paraId="795D550B" w14:textId="1A953B64" w:rsidR="00221002" w:rsidRPr="0006481B" w:rsidRDefault="00221002" w:rsidP="00CA308B">
      <w:pPr>
        <w:spacing w:after="0" w:line="240" w:lineRule="auto"/>
        <w:jc w:val="center"/>
        <w:rPr>
          <w:rFonts w:ascii="Dubai" w:hAnsi="Dubai" w:cs="Dubai"/>
          <w:b/>
          <w:sz w:val="24"/>
          <w:szCs w:val="24"/>
        </w:rPr>
      </w:pPr>
      <w:r>
        <w:rPr>
          <w:rFonts w:ascii="Dubai" w:hAnsi="Dubai" w:cs="Dubai"/>
          <w:b/>
          <w:sz w:val="24"/>
          <w:szCs w:val="24"/>
        </w:rPr>
        <w:t>19 – 23 FEBRUARY, 2025</w:t>
      </w:r>
    </w:p>
    <w:p w14:paraId="1429BB65" w14:textId="77777777" w:rsidR="009F59DC" w:rsidRDefault="009F59DC" w:rsidP="00E753D5">
      <w:pPr>
        <w:spacing w:after="0" w:line="240" w:lineRule="auto"/>
        <w:ind w:left="-851"/>
        <w:jc w:val="both"/>
        <w:rPr>
          <w:rFonts w:ascii="Dubai" w:hAnsi="Dubai" w:cs="Dubai"/>
        </w:rPr>
      </w:pPr>
    </w:p>
    <w:p w14:paraId="024D4432" w14:textId="2014650D" w:rsidR="002603D0" w:rsidRDefault="005D61D6" w:rsidP="009E7295">
      <w:pPr>
        <w:spacing w:after="0" w:line="240" w:lineRule="auto"/>
        <w:ind w:left="-851"/>
        <w:jc w:val="both"/>
        <w:rPr>
          <w:rFonts w:ascii="Dubai" w:hAnsi="Dubai" w:cs="Dubai"/>
        </w:rPr>
      </w:pPr>
      <w:r w:rsidRPr="00CF617B">
        <w:rPr>
          <w:rFonts w:ascii="Dubai" w:hAnsi="Dubai" w:cs="Dubai"/>
        </w:rPr>
        <w:t xml:space="preserve">Dubai International Boat </w:t>
      </w:r>
      <w:r w:rsidR="001C2590" w:rsidRPr="00CF617B">
        <w:rPr>
          <w:rFonts w:ascii="Dubai" w:hAnsi="Dubai" w:cs="Dubai"/>
        </w:rPr>
        <w:t>Show</w:t>
      </w:r>
      <w:r w:rsidR="002603D0" w:rsidRPr="00CF617B">
        <w:rPr>
          <w:rFonts w:ascii="Dubai" w:hAnsi="Dubai" w:cs="Dubai"/>
        </w:rPr>
        <w:t xml:space="preserve"> </w:t>
      </w:r>
      <w:r w:rsidR="009F59DC">
        <w:rPr>
          <w:rFonts w:ascii="Dubai" w:hAnsi="Dubai" w:cs="Dubai"/>
        </w:rPr>
        <w:t>(DIBS)</w:t>
      </w:r>
      <w:r w:rsidR="00336DA8">
        <w:rPr>
          <w:rFonts w:ascii="Dubai" w:hAnsi="Dubai" w:cs="Dubai"/>
        </w:rPr>
        <w:t>,</w:t>
      </w:r>
      <w:r w:rsidR="009F59DC">
        <w:rPr>
          <w:rFonts w:ascii="Dubai" w:hAnsi="Dubai" w:cs="Dubai"/>
        </w:rPr>
        <w:t xml:space="preserve"> </w:t>
      </w:r>
      <w:r w:rsidR="00336DA8" w:rsidRPr="00CF617B">
        <w:rPr>
          <w:rFonts w:ascii="Dubai" w:hAnsi="Dubai" w:cs="Dubai"/>
        </w:rPr>
        <w:t xml:space="preserve">the region’s largest and most exciting </w:t>
      </w:r>
      <w:r w:rsidR="00336DA8">
        <w:rPr>
          <w:rFonts w:ascii="Dubai" w:hAnsi="Dubai" w:cs="Dubai"/>
        </w:rPr>
        <w:t>maritime</w:t>
      </w:r>
      <w:r w:rsidR="00336DA8" w:rsidRPr="00CF617B">
        <w:rPr>
          <w:rFonts w:ascii="Dubai" w:hAnsi="Dubai" w:cs="Dubai"/>
        </w:rPr>
        <w:t xml:space="preserve"> lifestyle </w:t>
      </w:r>
      <w:r w:rsidR="00336DA8">
        <w:rPr>
          <w:rFonts w:ascii="Dubai" w:hAnsi="Dubai" w:cs="Dubai"/>
        </w:rPr>
        <w:t xml:space="preserve">event, </w:t>
      </w:r>
      <w:r w:rsidR="002603D0" w:rsidRPr="00CF617B">
        <w:rPr>
          <w:rFonts w:ascii="Dubai" w:hAnsi="Dubai" w:cs="Dubai"/>
        </w:rPr>
        <w:t xml:space="preserve">is </w:t>
      </w:r>
      <w:r w:rsidR="009F59DC">
        <w:rPr>
          <w:rFonts w:ascii="Dubai" w:hAnsi="Dubai" w:cs="Dubai"/>
        </w:rPr>
        <w:t>readying</w:t>
      </w:r>
      <w:r w:rsidR="002603D0" w:rsidRPr="00CF617B">
        <w:rPr>
          <w:rFonts w:ascii="Dubai" w:hAnsi="Dubai" w:cs="Dubai"/>
        </w:rPr>
        <w:t xml:space="preserve"> for its landmark 31</w:t>
      </w:r>
      <w:r w:rsidR="002603D0" w:rsidRPr="00CF617B">
        <w:rPr>
          <w:rFonts w:ascii="Dubai" w:hAnsi="Dubai" w:cs="Dubai"/>
          <w:vertAlign w:val="superscript"/>
        </w:rPr>
        <w:t>st</w:t>
      </w:r>
      <w:r w:rsidR="002603D0" w:rsidRPr="00CF617B">
        <w:rPr>
          <w:rFonts w:ascii="Dubai" w:hAnsi="Dubai" w:cs="Dubai"/>
        </w:rPr>
        <w:t xml:space="preserve"> edition</w:t>
      </w:r>
      <w:r w:rsidR="00221002">
        <w:rPr>
          <w:rFonts w:ascii="Dubai" w:hAnsi="Dubai" w:cs="Dubai"/>
        </w:rPr>
        <w:t xml:space="preserve"> as it returns to Dubai </w:t>
      </w:r>
      <w:proofErr w:type="spellStart"/>
      <w:r w:rsidR="00221002">
        <w:rPr>
          <w:rFonts w:ascii="Dubai" w:hAnsi="Dubai" w:cs="Dubai"/>
        </w:rPr>
        <w:t>Harbour</w:t>
      </w:r>
      <w:proofErr w:type="spellEnd"/>
      <w:r w:rsidR="00221002">
        <w:rPr>
          <w:rFonts w:ascii="Dubai" w:hAnsi="Dubai" w:cs="Dubai"/>
        </w:rPr>
        <w:t xml:space="preserve"> for a fourth consecutive year.</w:t>
      </w:r>
    </w:p>
    <w:p w14:paraId="70E9FA90" w14:textId="77777777" w:rsidR="00336DA8" w:rsidRDefault="00336DA8" w:rsidP="009E7295">
      <w:pPr>
        <w:spacing w:after="0" w:line="240" w:lineRule="auto"/>
        <w:ind w:left="-851"/>
        <w:jc w:val="both"/>
        <w:rPr>
          <w:rFonts w:ascii="Dubai" w:hAnsi="Dubai" w:cs="Dubai"/>
        </w:rPr>
      </w:pPr>
    </w:p>
    <w:p w14:paraId="7F8BBA30" w14:textId="1817F055" w:rsidR="00336DA8" w:rsidRPr="00A22613" w:rsidRDefault="00336DA8" w:rsidP="009E7295">
      <w:pPr>
        <w:spacing w:after="0" w:line="240" w:lineRule="auto"/>
        <w:ind w:left="-851"/>
        <w:jc w:val="both"/>
        <w:rPr>
          <w:rFonts w:ascii="Dubai" w:hAnsi="Dubai" w:cs="Dubai"/>
          <w:b/>
          <w:bCs/>
        </w:rPr>
      </w:pPr>
      <w:r w:rsidRPr="00A22613">
        <w:rPr>
          <w:rFonts w:ascii="Dubai" w:hAnsi="Dubai" w:cs="Dubai"/>
          <w:b/>
          <w:bCs/>
        </w:rPr>
        <w:t xml:space="preserve">Date: </w:t>
      </w:r>
      <w:r w:rsidRPr="001B309C">
        <w:rPr>
          <w:rFonts w:ascii="Dubai" w:hAnsi="Dubai" w:cs="Dubai"/>
        </w:rPr>
        <w:t>19-23 February</w:t>
      </w:r>
      <w:r w:rsidR="00130E67" w:rsidRPr="001B309C">
        <w:rPr>
          <w:rFonts w:ascii="Dubai" w:hAnsi="Dubai" w:cs="Dubai"/>
        </w:rPr>
        <w:t>, 2025</w:t>
      </w:r>
    </w:p>
    <w:p w14:paraId="70C40CC3" w14:textId="77777777" w:rsidR="00336DA8" w:rsidRPr="00A22613" w:rsidRDefault="00336DA8" w:rsidP="00336DA8">
      <w:pPr>
        <w:spacing w:after="0" w:line="240" w:lineRule="auto"/>
        <w:ind w:left="-851"/>
        <w:jc w:val="both"/>
        <w:rPr>
          <w:rFonts w:ascii="Dubai" w:hAnsi="Dubai" w:cs="Dubai"/>
          <w:b/>
          <w:bCs/>
        </w:rPr>
      </w:pPr>
      <w:r w:rsidRPr="00A22613">
        <w:rPr>
          <w:rFonts w:ascii="Dubai" w:hAnsi="Dubai" w:cs="Dubai"/>
          <w:b/>
          <w:bCs/>
        </w:rPr>
        <w:t xml:space="preserve">Location: </w:t>
      </w:r>
      <w:r w:rsidRPr="001B309C">
        <w:rPr>
          <w:rFonts w:ascii="Dubai" w:hAnsi="Dubai" w:cs="Dubai"/>
        </w:rPr>
        <w:t xml:space="preserve">Dubai </w:t>
      </w:r>
      <w:proofErr w:type="spellStart"/>
      <w:r w:rsidRPr="001B309C">
        <w:rPr>
          <w:rFonts w:ascii="Dubai" w:hAnsi="Dubai" w:cs="Dubai"/>
        </w:rPr>
        <w:t>Harbour</w:t>
      </w:r>
      <w:proofErr w:type="spellEnd"/>
    </w:p>
    <w:p w14:paraId="74CBE8E3" w14:textId="77777777" w:rsidR="00336DA8" w:rsidRPr="00A22613" w:rsidRDefault="00DF3E46" w:rsidP="00336DA8">
      <w:pPr>
        <w:spacing w:after="0" w:line="240" w:lineRule="auto"/>
        <w:ind w:left="-851"/>
        <w:jc w:val="both"/>
        <w:rPr>
          <w:rFonts w:ascii="Dubai" w:hAnsi="Dubai" w:cs="Dubai"/>
          <w:b/>
          <w:bCs/>
        </w:rPr>
      </w:pPr>
      <w:proofErr w:type="spellStart"/>
      <w:r w:rsidRPr="00A22613">
        <w:rPr>
          <w:rFonts w:ascii="Dubai" w:hAnsi="Dubai" w:cs="Dubai"/>
          <w:b/>
          <w:bCs/>
        </w:rPr>
        <w:t>Organised</w:t>
      </w:r>
      <w:proofErr w:type="spellEnd"/>
      <w:r w:rsidRPr="00A22613">
        <w:rPr>
          <w:rFonts w:ascii="Dubai" w:hAnsi="Dubai" w:cs="Dubai"/>
          <w:b/>
          <w:bCs/>
        </w:rPr>
        <w:t xml:space="preserve"> by</w:t>
      </w:r>
      <w:r w:rsidR="00336DA8" w:rsidRPr="00A22613">
        <w:rPr>
          <w:rFonts w:ascii="Dubai" w:hAnsi="Dubai" w:cs="Dubai"/>
          <w:b/>
          <w:bCs/>
        </w:rPr>
        <w:t>:</w:t>
      </w:r>
      <w:r w:rsidRPr="00A22613">
        <w:rPr>
          <w:rFonts w:ascii="Dubai" w:hAnsi="Dubai" w:cs="Dubai"/>
          <w:b/>
          <w:bCs/>
        </w:rPr>
        <w:t xml:space="preserve"> </w:t>
      </w:r>
      <w:r w:rsidRPr="001B309C">
        <w:rPr>
          <w:rFonts w:ascii="Dubai" w:hAnsi="Dubai" w:cs="Dubai"/>
        </w:rPr>
        <w:t>Dubai World Trade Centre (DWTC)</w:t>
      </w:r>
    </w:p>
    <w:p w14:paraId="5A96C969" w14:textId="0CF1D3B3" w:rsidR="004E72AA" w:rsidRDefault="00336DA8" w:rsidP="00A22613">
      <w:pPr>
        <w:spacing w:after="0" w:line="240" w:lineRule="auto"/>
        <w:ind w:left="-851"/>
        <w:jc w:val="both"/>
        <w:rPr>
          <w:rFonts w:ascii="Dubai" w:hAnsi="Dubai" w:cs="Dubai"/>
        </w:rPr>
      </w:pPr>
      <w:r w:rsidRPr="004E72AA">
        <w:rPr>
          <w:rFonts w:ascii="Dubai" w:hAnsi="Dubai" w:cs="Dubai"/>
          <w:b/>
          <w:bCs/>
        </w:rPr>
        <w:t>Overview:</w:t>
      </w:r>
      <w:r w:rsidRPr="00130E67">
        <w:rPr>
          <w:rFonts w:ascii="Dubai" w:hAnsi="Dubai" w:cs="Dubai"/>
        </w:rPr>
        <w:t xml:space="preserve"> </w:t>
      </w:r>
      <w:r w:rsidR="00130E67" w:rsidRPr="00130E67">
        <w:rPr>
          <w:rFonts w:ascii="Dubai" w:hAnsi="Dubai" w:cs="Dubai"/>
        </w:rPr>
        <w:t>The annual seafaring spectacular will host more than 200 yachts and watercraft</w:t>
      </w:r>
      <w:r w:rsidR="00813EFC">
        <w:rPr>
          <w:rFonts w:ascii="Dubai" w:hAnsi="Dubai" w:cs="Dubai"/>
        </w:rPr>
        <w:t>s</w:t>
      </w:r>
      <w:r w:rsidR="00130E67" w:rsidRPr="00130E67">
        <w:rPr>
          <w:rFonts w:ascii="Dubai" w:hAnsi="Dubai" w:cs="Dubai"/>
        </w:rPr>
        <w:t xml:space="preserve"> from world-renowned boat builders</w:t>
      </w:r>
      <w:r w:rsidR="00221002">
        <w:rPr>
          <w:rFonts w:ascii="Dubai" w:hAnsi="Dubai" w:cs="Dubai"/>
        </w:rPr>
        <w:t xml:space="preserve"> at one of region’s most advanced marinas.</w:t>
      </w:r>
      <w:r w:rsidR="00130E67" w:rsidRPr="00130E67">
        <w:rPr>
          <w:rFonts w:ascii="Dubai" w:hAnsi="Dubai" w:cs="Dubai"/>
        </w:rPr>
        <w:t xml:space="preserve"> </w:t>
      </w:r>
      <w:r w:rsidR="004E72AA">
        <w:rPr>
          <w:rFonts w:ascii="Dubai" w:hAnsi="Dubai" w:cs="Dubai"/>
        </w:rPr>
        <w:t xml:space="preserve">New features include an Innovation Zone for start-ups, leading real estate companies showcasing waterfront developments, as well as a brokerage division featuring industry heavyweights including </w:t>
      </w:r>
      <w:r w:rsidR="004E72AA" w:rsidRPr="004E72AA">
        <w:rPr>
          <w:rFonts w:ascii="Dubai" w:hAnsi="Dubai" w:cs="Dubai"/>
        </w:rPr>
        <w:t xml:space="preserve">Burgess, </w:t>
      </w:r>
      <w:proofErr w:type="spellStart"/>
      <w:r w:rsidR="004E72AA" w:rsidRPr="004E72AA">
        <w:rPr>
          <w:rFonts w:ascii="Dubai" w:hAnsi="Dubai" w:cs="Dubai"/>
        </w:rPr>
        <w:t>Behnemar</w:t>
      </w:r>
      <w:proofErr w:type="spellEnd"/>
      <w:r w:rsidR="004E72AA" w:rsidRPr="004E72AA">
        <w:rPr>
          <w:rFonts w:ascii="Dubai" w:hAnsi="Dubai" w:cs="Dubai"/>
        </w:rPr>
        <w:t>, and Royal Yachts</w:t>
      </w:r>
      <w:r w:rsidR="004E72AA">
        <w:rPr>
          <w:rFonts w:ascii="Dubai" w:hAnsi="Dubai" w:cs="Dubai"/>
        </w:rPr>
        <w:t>.</w:t>
      </w:r>
    </w:p>
    <w:p w14:paraId="1012F4EF" w14:textId="27DE80B5" w:rsidR="004E72AA" w:rsidRDefault="004E72AA" w:rsidP="00A22613">
      <w:pPr>
        <w:spacing w:after="0" w:line="240" w:lineRule="auto"/>
        <w:ind w:left="-851"/>
        <w:jc w:val="both"/>
        <w:rPr>
          <w:rFonts w:ascii="Dubai" w:hAnsi="Dubai" w:cs="Dubai"/>
        </w:rPr>
      </w:pPr>
      <w:r>
        <w:rPr>
          <w:rFonts w:ascii="Dubai" w:hAnsi="Dubai" w:cs="Dubai"/>
        </w:rPr>
        <w:t>With</w:t>
      </w:r>
      <w:r w:rsidR="006C2B6E">
        <w:rPr>
          <w:rFonts w:ascii="Dubai" w:hAnsi="Dubai" w:cs="Dubai"/>
        </w:rPr>
        <w:t xml:space="preserve"> world-renowned brands such </w:t>
      </w:r>
      <w:r w:rsidR="006C2B6E" w:rsidRPr="00651EE4">
        <w:rPr>
          <w:rFonts w:ascii="Dubai" w:hAnsi="Dubai" w:cs="Dubai"/>
        </w:rPr>
        <w:t xml:space="preserve">as </w:t>
      </w:r>
      <w:proofErr w:type="spellStart"/>
      <w:r w:rsidR="006C2B6E" w:rsidRPr="00FE73E5">
        <w:rPr>
          <w:rFonts w:ascii="Dubai" w:hAnsi="Dubai" w:cs="Dubai"/>
        </w:rPr>
        <w:t>Azimut</w:t>
      </w:r>
      <w:proofErr w:type="spellEnd"/>
      <w:r w:rsidR="006C2B6E" w:rsidRPr="00FE73E5">
        <w:rPr>
          <w:rFonts w:ascii="Dubai" w:hAnsi="Dubai" w:cs="Dubai"/>
        </w:rPr>
        <w:t>, Ferret</w:t>
      </w:r>
      <w:r w:rsidR="006C2B6E">
        <w:rPr>
          <w:rFonts w:ascii="Dubai" w:hAnsi="Dubai" w:cs="Dubai"/>
        </w:rPr>
        <w:t>t</w:t>
      </w:r>
      <w:r w:rsidR="006C2B6E" w:rsidRPr="00FE73E5">
        <w:rPr>
          <w:rFonts w:ascii="Dubai" w:hAnsi="Dubai" w:cs="Dubai"/>
        </w:rPr>
        <w:t>i,</w:t>
      </w:r>
      <w:r w:rsidR="006C2B6E" w:rsidRPr="00651EE4">
        <w:rPr>
          <w:rFonts w:ascii="Dubai" w:hAnsi="Dubai" w:cs="Dubai"/>
        </w:rPr>
        <w:t xml:space="preserve"> Gulf Craft</w:t>
      </w:r>
      <w:r w:rsidR="006C2B6E" w:rsidRPr="00FE73E5">
        <w:rPr>
          <w:rFonts w:ascii="Dubai" w:hAnsi="Dubai" w:cs="Dubai"/>
        </w:rPr>
        <w:t>, Sunseeker, Yachts One</w:t>
      </w:r>
      <w:r w:rsidR="006C2B6E">
        <w:rPr>
          <w:rFonts w:ascii="Dubai" w:hAnsi="Dubai" w:cs="Dubai"/>
        </w:rPr>
        <w:t xml:space="preserve"> set </w:t>
      </w:r>
      <w:r>
        <w:rPr>
          <w:rFonts w:ascii="Dubai" w:hAnsi="Dubai" w:cs="Dubai"/>
        </w:rPr>
        <w:t xml:space="preserve">to display the latest and most innovative products in the global maritime sector, DIBS is once again set to both unite the maritime sector and inspire future industry developments. </w:t>
      </w:r>
    </w:p>
    <w:p w14:paraId="4A3DC857" w14:textId="29D96E75" w:rsidR="00130E67" w:rsidRDefault="00CC45A7" w:rsidP="00A22613">
      <w:pPr>
        <w:spacing w:after="0" w:line="240" w:lineRule="auto"/>
        <w:ind w:left="-851"/>
        <w:jc w:val="both"/>
        <w:rPr>
          <w:rFonts w:ascii="Dubai" w:hAnsi="Dubai" w:cs="Dubai"/>
        </w:rPr>
      </w:pPr>
      <w:r w:rsidRPr="004E72AA">
        <w:rPr>
          <w:rFonts w:ascii="Dubai" w:hAnsi="Dubai" w:cs="Dubai"/>
          <w:b/>
          <w:bCs/>
        </w:rPr>
        <w:t>Back for 2025:</w:t>
      </w:r>
      <w:r>
        <w:rPr>
          <w:rFonts w:ascii="Dubai" w:hAnsi="Dubai" w:cs="Dubai"/>
        </w:rPr>
        <w:t xml:space="preserve"> </w:t>
      </w:r>
      <w:r w:rsidR="00130E67" w:rsidRPr="00130E67">
        <w:rPr>
          <w:rFonts w:ascii="Dubai" w:hAnsi="Dubai" w:cs="Dubai"/>
        </w:rPr>
        <w:t xml:space="preserve">DIVE MENA, the only dedicated show for the UAE and GCC diving community, will make its return to DIBS once again; the popular Supercar Avenue will display some of the rarest high-performance cars in the world; </w:t>
      </w:r>
      <w:proofErr w:type="spellStart"/>
      <w:r w:rsidR="00130E67" w:rsidRPr="00130E67">
        <w:rPr>
          <w:rFonts w:ascii="Dubai" w:hAnsi="Dubai" w:cs="Dubai"/>
        </w:rPr>
        <w:t>specialised</w:t>
      </w:r>
      <w:proofErr w:type="spellEnd"/>
      <w:r w:rsidR="00130E67" w:rsidRPr="00130E67">
        <w:rPr>
          <w:rFonts w:ascii="Dubai" w:hAnsi="Dubai" w:cs="Dubai"/>
        </w:rPr>
        <w:t xml:space="preserve"> trade expos for Equipment Supplies &amp; Services and Marine Luxury &amp; Lifestyle are also confirmed, </w:t>
      </w:r>
      <w:r>
        <w:rPr>
          <w:rFonts w:ascii="Dubai" w:hAnsi="Dubai" w:cs="Dubai"/>
        </w:rPr>
        <w:t xml:space="preserve">and there will be a range of F&amp;B options and family activities. </w:t>
      </w:r>
    </w:p>
    <w:p w14:paraId="66301C9D" w14:textId="1BFEA816" w:rsidR="004E72AA" w:rsidRDefault="004E72AA" w:rsidP="004E72AA">
      <w:pPr>
        <w:spacing w:after="0" w:line="240" w:lineRule="auto"/>
        <w:ind w:left="-851"/>
        <w:jc w:val="both"/>
        <w:rPr>
          <w:rFonts w:ascii="Dubai" w:hAnsi="Dubai" w:cs="Dubai"/>
        </w:rPr>
      </w:pPr>
      <w:r>
        <w:rPr>
          <w:rFonts w:ascii="Dubai" w:hAnsi="Dubai" w:cs="Dubai"/>
          <w:b/>
          <w:bCs/>
        </w:rPr>
        <w:t>Media reg:</w:t>
      </w:r>
      <w:r>
        <w:rPr>
          <w:rFonts w:ascii="Dubai" w:hAnsi="Dubai" w:cs="Dubai"/>
        </w:rPr>
        <w:t xml:space="preserve"> </w:t>
      </w:r>
      <w:hyperlink r:id="rId7" w:history="1">
        <w:r w:rsidRPr="004E72AA">
          <w:rPr>
            <w:rStyle w:val="Hyperlink"/>
            <w:rFonts w:ascii="Dubai" w:hAnsi="Dubai" w:cs="Dubai"/>
            <w:lang w:val="en-GB"/>
          </w:rPr>
          <w:t>https://visit.boatshowdubai.com/media/Reg</w:t>
        </w:r>
      </w:hyperlink>
    </w:p>
    <w:p w14:paraId="1586F2C8" w14:textId="6DE91ECA" w:rsidR="009E7295" w:rsidRDefault="009E7295" w:rsidP="00336DA8">
      <w:pPr>
        <w:spacing w:after="0" w:line="240" w:lineRule="auto"/>
        <w:ind w:left="-851"/>
        <w:jc w:val="both"/>
        <w:rPr>
          <w:rFonts w:ascii="Dubai" w:hAnsi="Dubai" w:cs="Dubai"/>
        </w:rPr>
      </w:pPr>
    </w:p>
    <w:p w14:paraId="03BD7B31" w14:textId="77777777" w:rsidR="00130E67" w:rsidRDefault="00336DA8" w:rsidP="00130E67">
      <w:pPr>
        <w:spacing w:after="0" w:line="240" w:lineRule="auto"/>
        <w:ind w:left="-851"/>
        <w:jc w:val="both"/>
        <w:rPr>
          <w:rFonts w:ascii="Dubai" w:hAnsi="Dubai" w:cs="Dubai"/>
          <w:b/>
          <w:bCs/>
        </w:rPr>
      </w:pPr>
      <w:r w:rsidRPr="00A22613">
        <w:rPr>
          <w:rFonts w:ascii="Dubai" w:hAnsi="Dubai" w:cs="Dubai"/>
          <w:b/>
          <w:bCs/>
        </w:rPr>
        <w:t>Tickets:</w:t>
      </w:r>
    </w:p>
    <w:p w14:paraId="2A5053A7" w14:textId="77777777" w:rsidR="00A22613" w:rsidRDefault="00A22613" w:rsidP="00130E67">
      <w:pPr>
        <w:spacing w:after="0" w:line="240" w:lineRule="auto"/>
        <w:ind w:left="-851"/>
        <w:jc w:val="both"/>
        <w:rPr>
          <w:rFonts w:ascii="Dubai" w:hAnsi="Dubai" w:cs="Dubai"/>
          <w:b/>
          <w:bCs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3391"/>
        <w:gridCol w:w="3391"/>
        <w:gridCol w:w="3392"/>
      </w:tblGrid>
      <w:tr w:rsidR="00A22613" w14:paraId="1D78FB46" w14:textId="77777777" w:rsidTr="00A22613">
        <w:tc>
          <w:tcPr>
            <w:tcW w:w="3391" w:type="dxa"/>
          </w:tcPr>
          <w:p w14:paraId="7C1F2324" w14:textId="3CA377EF" w:rsidR="00A22613" w:rsidRDefault="00A22613" w:rsidP="00130E67">
            <w:pPr>
              <w:jc w:val="both"/>
              <w:rPr>
                <w:rFonts w:ascii="Dubai" w:hAnsi="Dubai" w:cs="Dubai"/>
                <w:b/>
                <w:bCs/>
              </w:rPr>
            </w:pPr>
            <w:r>
              <w:rPr>
                <w:rFonts w:ascii="Dubai" w:hAnsi="Dubai" w:cs="Dubai"/>
                <w:b/>
                <w:bCs/>
              </w:rPr>
              <w:t xml:space="preserve">Online preshow </w:t>
            </w:r>
          </w:p>
        </w:tc>
        <w:tc>
          <w:tcPr>
            <w:tcW w:w="3391" w:type="dxa"/>
          </w:tcPr>
          <w:p w14:paraId="5194262C" w14:textId="7F6AAFC8" w:rsidR="00A22613" w:rsidRDefault="00A22613" w:rsidP="00130E67">
            <w:pPr>
              <w:jc w:val="both"/>
              <w:rPr>
                <w:rFonts w:ascii="Dubai" w:hAnsi="Dubai" w:cs="Dubai"/>
                <w:b/>
                <w:bCs/>
              </w:rPr>
            </w:pPr>
            <w:r>
              <w:rPr>
                <w:rFonts w:ascii="Dubai" w:hAnsi="Dubai" w:cs="Dubai"/>
                <w:b/>
                <w:bCs/>
              </w:rPr>
              <w:t>Onsite</w:t>
            </w:r>
          </w:p>
        </w:tc>
        <w:tc>
          <w:tcPr>
            <w:tcW w:w="3392" w:type="dxa"/>
          </w:tcPr>
          <w:p w14:paraId="3B894DC3" w14:textId="6BEDF036" w:rsidR="00A22613" w:rsidRDefault="00A22613" w:rsidP="00130E67">
            <w:pPr>
              <w:jc w:val="both"/>
              <w:rPr>
                <w:rFonts w:ascii="Dubai" w:hAnsi="Dubai" w:cs="Dubai"/>
                <w:b/>
                <w:bCs/>
              </w:rPr>
            </w:pPr>
            <w:r>
              <w:rPr>
                <w:rFonts w:ascii="Dubai" w:hAnsi="Dubai" w:cs="Dubai"/>
                <w:b/>
                <w:bCs/>
              </w:rPr>
              <w:t>Under 18</w:t>
            </w:r>
          </w:p>
        </w:tc>
      </w:tr>
      <w:tr w:rsidR="00A22613" w14:paraId="55019BF1" w14:textId="77777777" w:rsidTr="00A22613">
        <w:tc>
          <w:tcPr>
            <w:tcW w:w="3391" w:type="dxa"/>
          </w:tcPr>
          <w:p w14:paraId="454C6035" w14:textId="28CF40A7" w:rsidR="00A22613" w:rsidRPr="00A22613" w:rsidRDefault="00A22613" w:rsidP="00130E67">
            <w:pPr>
              <w:jc w:val="both"/>
              <w:rPr>
                <w:rFonts w:ascii="Dubai" w:hAnsi="Dubai" w:cs="Dubai"/>
              </w:rPr>
            </w:pPr>
            <w:r w:rsidRPr="00A22613">
              <w:rPr>
                <w:rFonts w:ascii="Dubai" w:hAnsi="Dubai" w:cs="Dubai"/>
              </w:rPr>
              <w:t>1 day – AED 55</w:t>
            </w:r>
          </w:p>
        </w:tc>
        <w:tc>
          <w:tcPr>
            <w:tcW w:w="3391" w:type="dxa"/>
          </w:tcPr>
          <w:p w14:paraId="1E139870" w14:textId="06D1D6CB" w:rsidR="00A22613" w:rsidRPr="00A22613" w:rsidRDefault="00A22613" w:rsidP="00130E67">
            <w:pPr>
              <w:jc w:val="both"/>
              <w:rPr>
                <w:rFonts w:ascii="Dubai" w:hAnsi="Dubai" w:cs="Dubai"/>
              </w:rPr>
            </w:pPr>
            <w:r w:rsidRPr="00A22613">
              <w:rPr>
                <w:rFonts w:ascii="Dubai" w:hAnsi="Dubai" w:cs="Dubai"/>
              </w:rPr>
              <w:t>1 day – AED 70</w:t>
            </w:r>
          </w:p>
        </w:tc>
        <w:tc>
          <w:tcPr>
            <w:tcW w:w="3392" w:type="dxa"/>
          </w:tcPr>
          <w:p w14:paraId="70CBC997" w14:textId="37E4A2A3" w:rsidR="00A22613" w:rsidRPr="00A22613" w:rsidRDefault="00A22613" w:rsidP="00130E67">
            <w:pPr>
              <w:jc w:val="both"/>
              <w:rPr>
                <w:rFonts w:ascii="Dubai" w:hAnsi="Dubai" w:cs="Dubai"/>
              </w:rPr>
            </w:pPr>
            <w:r w:rsidRPr="00A22613">
              <w:rPr>
                <w:rFonts w:ascii="Dubai" w:hAnsi="Dubai" w:cs="Dubai"/>
              </w:rPr>
              <w:t>13-17 – AED 40</w:t>
            </w:r>
          </w:p>
        </w:tc>
      </w:tr>
      <w:tr w:rsidR="00A22613" w14:paraId="630B5721" w14:textId="77777777" w:rsidTr="00A22613">
        <w:tc>
          <w:tcPr>
            <w:tcW w:w="3391" w:type="dxa"/>
          </w:tcPr>
          <w:p w14:paraId="39C85095" w14:textId="38930D7C" w:rsidR="00A22613" w:rsidRPr="00A22613" w:rsidRDefault="00A22613" w:rsidP="00130E67">
            <w:pPr>
              <w:jc w:val="both"/>
              <w:rPr>
                <w:rFonts w:ascii="Dubai" w:hAnsi="Dubai" w:cs="Dubai"/>
              </w:rPr>
            </w:pPr>
            <w:r w:rsidRPr="00A22613">
              <w:rPr>
                <w:rFonts w:ascii="Dubai" w:hAnsi="Dubai" w:cs="Dubai"/>
              </w:rPr>
              <w:t>All days – AED 130</w:t>
            </w:r>
          </w:p>
        </w:tc>
        <w:tc>
          <w:tcPr>
            <w:tcW w:w="3391" w:type="dxa"/>
          </w:tcPr>
          <w:p w14:paraId="54C82A69" w14:textId="1AFF9C32" w:rsidR="00A22613" w:rsidRPr="00A22613" w:rsidRDefault="00A22613" w:rsidP="00130E67">
            <w:pPr>
              <w:jc w:val="both"/>
              <w:rPr>
                <w:rFonts w:ascii="Dubai" w:hAnsi="Dubai" w:cs="Dubai"/>
              </w:rPr>
            </w:pPr>
            <w:r w:rsidRPr="00A22613">
              <w:rPr>
                <w:rFonts w:ascii="Dubai" w:hAnsi="Dubai" w:cs="Dubai"/>
              </w:rPr>
              <w:t>All days – AED 160</w:t>
            </w:r>
          </w:p>
        </w:tc>
        <w:tc>
          <w:tcPr>
            <w:tcW w:w="3392" w:type="dxa"/>
          </w:tcPr>
          <w:p w14:paraId="1E0FE686" w14:textId="1B0253B2" w:rsidR="00A22613" w:rsidRPr="00A22613" w:rsidRDefault="00A22613" w:rsidP="00130E67">
            <w:pPr>
              <w:jc w:val="both"/>
              <w:rPr>
                <w:rFonts w:ascii="Dubai" w:hAnsi="Dubai" w:cs="Dubai"/>
              </w:rPr>
            </w:pPr>
            <w:r w:rsidRPr="00A22613">
              <w:rPr>
                <w:rFonts w:ascii="Dubai" w:hAnsi="Dubai" w:cs="Dubai"/>
              </w:rPr>
              <w:t>Under 12 free with paying adult</w:t>
            </w:r>
          </w:p>
        </w:tc>
      </w:tr>
    </w:tbl>
    <w:p w14:paraId="0578D195" w14:textId="77777777" w:rsidR="00A22613" w:rsidRDefault="00A22613" w:rsidP="00130E67">
      <w:pPr>
        <w:spacing w:after="0" w:line="240" w:lineRule="auto"/>
        <w:ind w:left="-851"/>
        <w:jc w:val="both"/>
        <w:rPr>
          <w:rFonts w:ascii="Dubai" w:hAnsi="Dubai" w:cs="Dubai"/>
          <w:b/>
          <w:bCs/>
        </w:rPr>
      </w:pPr>
    </w:p>
    <w:p w14:paraId="41DAC0DB" w14:textId="02230D50" w:rsidR="00507EA9" w:rsidRPr="00CF617B" w:rsidRDefault="00507EA9" w:rsidP="00A22613">
      <w:pPr>
        <w:spacing w:after="0" w:line="240" w:lineRule="auto"/>
        <w:ind w:left="-851"/>
        <w:jc w:val="both"/>
        <w:rPr>
          <w:rFonts w:ascii="Dubai" w:hAnsi="Dubai" w:cs="Dubai"/>
        </w:rPr>
      </w:pPr>
      <w:bookmarkStart w:id="0" w:name="_GoBack"/>
      <w:bookmarkEnd w:id="0"/>
    </w:p>
    <w:sectPr w:rsidR="00507EA9" w:rsidRPr="00CF617B" w:rsidSect="00E753D5">
      <w:pgSz w:w="12240" w:h="15840"/>
      <w:pgMar w:top="426" w:right="616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42AF4"/>
    <w:multiLevelType w:val="hybridMultilevel"/>
    <w:tmpl w:val="86DE577A"/>
    <w:lvl w:ilvl="0" w:tplc="CF7C4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E4546"/>
    <w:multiLevelType w:val="hybridMultilevel"/>
    <w:tmpl w:val="B46ADB26"/>
    <w:lvl w:ilvl="0" w:tplc="D314417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gQBcxNTCwtLQ1NDJR2l4NTi4sz8PJACo1oAnAXyNywAAAA="/>
  </w:docVars>
  <w:rsids>
    <w:rsidRoot w:val="005D61D6"/>
    <w:rsid w:val="000017AE"/>
    <w:rsid w:val="00003933"/>
    <w:rsid w:val="00006F8F"/>
    <w:rsid w:val="00010977"/>
    <w:rsid w:val="00030081"/>
    <w:rsid w:val="00042B83"/>
    <w:rsid w:val="00047BE8"/>
    <w:rsid w:val="00051892"/>
    <w:rsid w:val="00052637"/>
    <w:rsid w:val="0006481B"/>
    <w:rsid w:val="00066130"/>
    <w:rsid w:val="000670C2"/>
    <w:rsid w:val="00080CF2"/>
    <w:rsid w:val="000866AC"/>
    <w:rsid w:val="00094968"/>
    <w:rsid w:val="00096B63"/>
    <w:rsid w:val="000B06EE"/>
    <w:rsid w:val="000B3597"/>
    <w:rsid w:val="000C77CD"/>
    <w:rsid w:val="000D0327"/>
    <w:rsid w:val="000D140C"/>
    <w:rsid w:val="000D306B"/>
    <w:rsid w:val="000E747C"/>
    <w:rsid w:val="00103711"/>
    <w:rsid w:val="00123F74"/>
    <w:rsid w:val="00130E67"/>
    <w:rsid w:val="001325E9"/>
    <w:rsid w:val="001328AD"/>
    <w:rsid w:val="0013477E"/>
    <w:rsid w:val="00141411"/>
    <w:rsid w:val="00155E81"/>
    <w:rsid w:val="001617D2"/>
    <w:rsid w:val="00171517"/>
    <w:rsid w:val="00172323"/>
    <w:rsid w:val="001915A9"/>
    <w:rsid w:val="001A22AB"/>
    <w:rsid w:val="001A2FBD"/>
    <w:rsid w:val="001A3ABD"/>
    <w:rsid w:val="001B309C"/>
    <w:rsid w:val="001C2590"/>
    <w:rsid w:val="001C499E"/>
    <w:rsid w:val="001C7EB6"/>
    <w:rsid w:val="001D2813"/>
    <w:rsid w:val="001F5D6B"/>
    <w:rsid w:val="00211412"/>
    <w:rsid w:val="002150C1"/>
    <w:rsid w:val="0021570A"/>
    <w:rsid w:val="00221002"/>
    <w:rsid w:val="00222912"/>
    <w:rsid w:val="00227E09"/>
    <w:rsid w:val="002464E8"/>
    <w:rsid w:val="00250F99"/>
    <w:rsid w:val="0025256A"/>
    <w:rsid w:val="00253327"/>
    <w:rsid w:val="00256328"/>
    <w:rsid w:val="002603D0"/>
    <w:rsid w:val="00266C6C"/>
    <w:rsid w:val="00277345"/>
    <w:rsid w:val="00277476"/>
    <w:rsid w:val="00286837"/>
    <w:rsid w:val="002925F4"/>
    <w:rsid w:val="00294C76"/>
    <w:rsid w:val="002971A1"/>
    <w:rsid w:val="002A0E0D"/>
    <w:rsid w:val="002B4347"/>
    <w:rsid w:val="002C34B8"/>
    <w:rsid w:val="002C457C"/>
    <w:rsid w:val="002D5D16"/>
    <w:rsid w:val="002E5861"/>
    <w:rsid w:val="002E6497"/>
    <w:rsid w:val="002F3782"/>
    <w:rsid w:val="00300BA6"/>
    <w:rsid w:val="003014C9"/>
    <w:rsid w:val="003048F6"/>
    <w:rsid w:val="0031328A"/>
    <w:rsid w:val="00336DA8"/>
    <w:rsid w:val="00337942"/>
    <w:rsid w:val="00340C82"/>
    <w:rsid w:val="00346656"/>
    <w:rsid w:val="00366E40"/>
    <w:rsid w:val="003759EE"/>
    <w:rsid w:val="00381DF9"/>
    <w:rsid w:val="003A2EA4"/>
    <w:rsid w:val="003A3C06"/>
    <w:rsid w:val="003B26D9"/>
    <w:rsid w:val="003B6BA3"/>
    <w:rsid w:val="003C0A67"/>
    <w:rsid w:val="003E318F"/>
    <w:rsid w:val="003F7DF0"/>
    <w:rsid w:val="004012CB"/>
    <w:rsid w:val="004138E7"/>
    <w:rsid w:val="00416357"/>
    <w:rsid w:val="004217D1"/>
    <w:rsid w:val="004218C2"/>
    <w:rsid w:val="00426487"/>
    <w:rsid w:val="00432C08"/>
    <w:rsid w:val="00435690"/>
    <w:rsid w:val="004363E9"/>
    <w:rsid w:val="004409CD"/>
    <w:rsid w:val="00451C48"/>
    <w:rsid w:val="00452F79"/>
    <w:rsid w:val="00466D0C"/>
    <w:rsid w:val="004713A0"/>
    <w:rsid w:val="00471FCA"/>
    <w:rsid w:val="004809EA"/>
    <w:rsid w:val="004814B4"/>
    <w:rsid w:val="0049799D"/>
    <w:rsid w:val="004B0BB9"/>
    <w:rsid w:val="004B22A7"/>
    <w:rsid w:val="004B372A"/>
    <w:rsid w:val="004C147F"/>
    <w:rsid w:val="004C1891"/>
    <w:rsid w:val="004D3BF0"/>
    <w:rsid w:val="004D4CF1"/>
    <w:rsid w:val="004E72AA"/>
    <w:rsid w:val="005048BD"/>
    <w:rsid w:val="00507EA9"/>
    <w:rsid w:val="005309EB"/>
    <w:rsid w:val="00532D51"/>
    <w:rsid w:val="00544332"/>
    <w:rsid w:val="00550304"/>
    <w:rsid w:val="00554FDC"/>
    <w:rsid w:val="00555E19"/>
    <w:rsid w:val="00560F89"/>
    <w:rsid w:val="0056731E"/>
    <w:rsid w:val="00570507"/>
    <w:rsid w:val="00581AD2"/>
    <w:rsid w:val="00593275"/>
    <w:rsid w:val="005934F5"/>
    <w:rsid w:val="005A189A"/>
    <w:rsid w:val="005C36C1"/>
    <w:rsid w:val="005D4BBF"/>
    <w:rsid w:val="005D61D6"/>
    <w:rsid w:val="005D636D"/>
    <w:rsid w:val="005E5DED"/>
    <w:rsid w:val="005E7CCE"/>
    <w:rsid w:val="005F1E57"/>
    <w:rsid w:val="005F43E6"/>
    <w:rsid w:val="005F4D81"/>
    <w:rsid w:val="005F6359"/>
    <w:rsid w:val="005F7D8C"/>
    <w:rsid w:val="0061116C"/>
    <w:rsid w:val="00612D77"/>
    <w:rsid w:val="0061777D"/>
    <w:rsid w:val="00656524"/>
    <w:rsid w:val="0066183E"/>
    <w:rsid w:val="00671219"/>
    <w:rsid w:val="00680DD4"/>
    <w:rsid w:val="00694051"/>
    <w:rsid w:val="00695395"/>
    <w:rsid w:val="006C2B6E"/>
    <w:rsid w:val="006C65EF"/>
    <w:rsid w:val="006F3751"/>
    <w:rsid w:val="00702C39"/>
    <w:rsid w:val="0071548E"/>
    <w:rsid w:val="0072186F"/>
    <w:rsid w:val="00730787"/>
    <w:rsid w:val="00752568"/>
    <w:rsid w:val="00753738"/>
    <w:rsid w:val="00753A80"/>
    <w:rsid w:val="00765175"/>
    <w:rsid w:val="00765F0D"/>
    <w:rsid w:val="00770209"/>
    <w:rsid w:val="00773A50"/>
    <w:rsid w:val="00773FA0"/>
    <w:rsid w:val="00775415"/>
    <w:rsid w:val="0078285A"/>
    <w:rsid w:val="00786B11"/>
    <w:rsid w:val="007A0953"/>
    <w:rsid w:val="007B19A6"/>
    <w:rsid w:val="007C08E1"/>
    <w:rsid w:val="007D5251"/>
    <w:rsid w:val="007F2BB2"/>
    <w:rsid w:val="007F49BB"/>
    <w:rsid w:val="00800B93"/>
    <w:rsid w:val="00803604"/>
    <w:rsid w:val="00813EFC"/>
    <w:rsid w:val="00821AB2"/>
    <w:rsid w:val="008519BA"/>
    <w:rsid w:val="0085765A"/>
    <w:rsid w:val="008709BA"/>
    <w:rsid w:val="008857F9"/>
    <w:rsid w:val="008A75A5"/>
    <w:rsid w:val="008B56C0"/>
    <w:rsid w:val="008B5F64"/>
    <w:rsid w:val="008E172D"/>
    <w:rsid w:val="008F6334"/>
    <w:rsid w:val="009026DB"/>
    <w:rsid w:val="00904283"/>
    <w:rsid w:val="00941905"/>
    <w:rsid w:val="009433CD"/>
    <w:rsid w:val="00951066"/>
    <w:rsid w:val="00952460"/>
    <w:rsid w:val="009552EE"/>
    <w:rsid w:val="009667AF"/>
    <w:rsid w:val="00975F32"/>
    <w:rsid w:val="009817FF"/>
    <w:rsid w:val="0099125B"/>
    <w:rsid w:val="009B3003"/>
    <w:rsid w:val="009B5059"/>
    <w:rsid w:val="009B5BE2"/>
    <w:rsid w:val="009C3770"/>
    <w:rsid w:val="009D604C"/>
    <w:rsid w:val="009E34F8"/>
    <w:rsid w:val="009E7295"/>
    <w:rsid w:val="009F2FC6"/>
    <w:rsid w:val="009F59DC"/>
    <w:rsid w:val="00A00E0C"/>
    <w:rsid w:val="00A07F6B"/>
    <w:rsid w:val="00A224A4"/>
    <w:rsid w:val="00A22613"/>
    <w:rsid w:val="00A30C6B"/>
    <w:rsid w:val="00A4247E"/>
    <w:rsid w:val="00A478BE"/>
    <w:rsid w:val="00A60073"/>
    <w:rsid w:val="00A6066C"/>
    <w:rsid w:val="00A6113B"/>
    <w:rsid w:val="00A85289"/>
    <w:rsid w:val="00A9567B"/>
    <w:rsid w:val="00AB5803"/>
    <w:rsid w:val="00AC1B0C"/>
    <w:rsid w:val="00AC2D54"/>
    <w:rsid w:val="00AD7EC3"/>
    <w:rsid w:val="00AE320B"/>
    <w:rsid w:val="00AE5A83"/>
    <w:rsid w:val="00AE6F44"/>
    <w:rsid w:val="00AF0B91"/>
    <w:rsid w:val="00AF5F9B"/>
    <w:rsid w:val="00AF7720"/>
    <w:rsid w:val="00B00C7A"/>
    <w:rsid w:val="00B01C90"/>
    <w:rsid w:val="00B03501"/>
    <w:rsid w:val="00B047F3"/>
    <w:rsid w:val="00B14281"/>
    <w:rsid w:val="00B33A12"/>
    <w:rsid w:val="00B422CF"/>
    <w:rsid w:val="00B47F13"/>
    <w:rsid w:val="00B52011"/>
    <w:rsid w:val="00B55741"/>
    <w:rsid w:val="00B60032"/>
    <w:rsid w:val="00B67EB2"/>
    <w:rsid w:val="00B761E4"/>
    <w:rsid w:val="00B76DA0"/>
    <w:rsid w:val="00B83623"/>
    <w:rsid w:val="00B87991"/>
    <w:rsid w:val="00B971BB"/>
    <w:rsid w:val="00BA55A1"/>
    <w:rsid w:val="00BB4FE2"/>
    <w:rsid w:val="00BC5BA6"/>
    <w:rsid w:val="00BD6E81"/>
    <w:rsid w:val="00BF1A02"/>
    <w:rsid w:val="00BF1F6A"/>
    <w:rsid w:val="00BF3CC3"/>
    <w:rsid w:val="00C13058"/>
    <w:rsid w:val="00C309F1"/>
    <w:rsid w:val="00C36CFA"/>
    <w:rsid w:val="00C61CD4"/>
    <w:rsid w:val="00C67968"/>
    <w:rsid w:val="00C70A38"/>
    <w:rsid w:val="00C83D39"/>
    <w:rsid w:val="00C85137"/>
    <w:rsid w:val="00C95EB0"/>
    <w:rsid w:val="00C977A9"/>
    <w:rsid w:val="00CA308B"/>
    <w:rsid w:val="00CA4039"/>
    <w:rsid w:val="00CA69D5"/>
    <w:rsid w:val="00CB6C38"/>
    <w:rsid w:val="00CC45A7"/>
    <w:rsid w:val="00CD4191"/>
    <w:rsid w:val="00CE0737"/>
    <w:rsid w:val="00CE4B04"/>
    <w:rsid w:val="00CE6A26"/>
    <w:rsid w:val="00CF370E"/>
    <w:rsid w:val="00CF617B"/>
    <w:rsid w:val="00D03DB2"/>
    <w:rsid w:val="00D04D03"/>
    <w:rsid w:val="00D05945"/>
    <w:rsid w:val="00D40397"/>
    <w:rsid w:val="00D41131"/>
    <w:rsid w:val="00D464F2"/>
    <w:rsid w:val="00D6110C"/>
    <w:rsid w:val="00D9236A"/>
    <w:rsid w:val="00D95CE8"/>
    <w:rsid w:val="00DB3044"/>
    <w:rsid w:val="00DC14FF"/>
    <w:rsid w:val="00DC48F9"/>
    <w:rsid w:val="00DC60AD"/>
    <w:rsid w:val="00DF3E46"/>
    <w:rsid w:val="00E3582E"/>
    <w:rsid w:val="00E4029F"/>
    <w:rsid w:val="00E45979"/>
    <w:rsid w:val="00E5364B"/>
    <w:rsid w:val="00E64ED5"/>
    <w:rsid w:val="00E66046"/>
    <w:rsid w:val="00E71253"/>
    <w:rsid w:val="00E753D5"/>
    <w:rsid w:val="00E8389B"/>
    <w:rsid w:val="00E84D95"/>
    <w:rsid w:val="00E8634F"/>
    <w:rsid w:val="00E949CE"/>
    <w:rsid w:val="00E96466"/>
    <w:rsid w:val="00EB2E5B"/>
    <w:rsid w:val="00EB7320"/>
    <w:rsid w:val="00EC3C27"/>
    <w:rsid w:val="00ED5972"/>
    <w:rsid w:val="00EE4D8D"/>
    <w:rsid w:val="00EE6360"/>
    <w:rsid w:val="00EE717D"/>
    <w:rsid w:val="00EF593D"/>
    <w:rsid w:val="00F07DAC"/>
    <w:rsid w:val="00F10050"/>
    <w:rsid w:val="00F12673"/>
    <w:rsid w:val="00F262AC"/>
    <w:rsid w:val="00F575C4"/>
    <w:rsid w:val="00F64E65"/>
    <w:rsid w:val="00FA38C5"/>
    <w:rsid w:val="00FA61FF"/>
    <w:rsid w:val="00FA72EF"/>
    <w:rsid w:val="00FC5539"/>
    <w:rsid w:val="00FC5803"/>
    <w:rsid w:val="00FC6BCA"/>
    <w:rsid w:val="00FE0E33"/>
    <w:rsid w:val="00FE3FD2"/>
    <w:rsid w:val="00FE726C"/>
    <w:rsid w:val="00FF3203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E1F0F"/>
  <w15:chartTrackingRefBased/>
  <w15:docId w15:val="{06852070-6172-4FE0-9550-C731CD74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1D6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02C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34B8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67EB2"/>
  </w:style>
  <w:style w:type="character" w:customStyle="1" w:styleId="eop">
    <w:name w:val="eop"/>
    <w:basedOn w:val="DefaultParagraphFont"/>
    <w:rsid w:val="00B67EB2"/>
  </w:style>
  <w:style w:type="paragraph" w:customStyle="1" w:styleId="paragraph">
    <w:name w:val="paragraph"/>
    <w:basedOn w:val="Normal"/>
    <w:rsid w:val="00B6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3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D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DB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03DB2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E5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8">
    <w:name w:val="color_18"/>
    <w:basedOn w:val="DefaultParagraphFont"/>
    <w:rsid w:val="00E5364B"/>
  </w:style>
  <w:style w:type="character" w:customStyle="1" w:styleId="color17">
    <w:name w:val="color_17"/>
    <w:basedOn w:val="DefaultParagraphFont"/>
    <w:rsid w:val="00D9236A"/>
  </w:style>
  <w:style w:type="character" w:customStyle="1" w:styleId="wixguard">
    <w:name w:val="wixguard"/>
    <w:basedOn w:val="DefaultParagraphFont"/>
    <w:rsid w:val="00B60032"/>
  </w:style>
  <w:style w:type="paragraph" w:styleId="BalloonText">
    <w:name w:val="Balloon Text"/>
    <w:basedOn w:val="Normal"/>
    <w:link w:val="BalloonTextChar"/>
    <w:uiPriority w:val="99"/>
    <w:semiHidden/>
    <w:unhideWhenUsed/>
    <w:rsid w:val="001A2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2AB"/>
    <w:rPr>
      <w:rFonts w:ascii="Segoe UI" w:hAnsi="Segoe UI" w:cs="Segoe UI"/>
      <w:sz w:val="18"/>
      <w:szCs w:val="18"/>
    </w:rPr>
  </w:style>
  <w:style w:type="character" w:customStyle="1" w:styleId="tabchar">
    <w:name w:val="tabchar"/>
    <w:basedOn w:val="DefaultParagraphFont"/>
    <w:rsid w:val="00507EA9"/>
  </w:style>
  <w:style w:type="character" w:styleId="FollowedHyperlink">
    <w:name w:val="FollowedHyperlink"/>
    <w:basedOn w:val="DefaultParagraphFont"/>
    <w:uiPriority w:val="99"/>
    <w:semiHidden/>
    <w:unhideWhenUsed/>
    <w:rsid w:val="005E5DE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2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sit.boatshowdubai.com/media/R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1480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Links>
    <vt:vector size="6" baseType="variant">
      <vt:variant>
        <vt:i4>7471230</vt:i4>
      </vt:variant>
      <vt:variant>
        <vt:i4>0</vt:i4>
      </vt:variant>
      <vt:variant>
        <vt:i4>0</vt:i4>
      </vt:variant>
      <vt:variant>
        <vt:i4>5</vt:i4>
      </vt:variant>
      <vt:variant>
        <vt:lpwstr>https://sybass.org/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Holland</dc:creator>
  <cp:keywords/>
  <dc:description/>
  <cp:lastModifiedBy>Jane Oneill</cp:lastModifiedBy>
  <cp:revision>3</cp:revision>
  <dcterms:created xsi:type="dcterms:W3CDTF">2025-01-13T06:05:00Z</dcterms:created>
  <dcterms:modified xsi:type="dcterms:W3CDTF">2025-01-13T15:04:00Z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968de37a1dd95de3ffd7f5ec6a19cb3f0252a290e84875ac4ce3e8a68beb0830</vt:lpwstr>
  </property>
</Properties>
</file>